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89" w:rsidRPr="001B555B" w:rsidRDefault="00CE1EBD">
      <w:pPr>
        <w:spacing w:afterLines="100" w:after="31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  <w:hyperlink r:id="rId6" w:history="1">
        <w:r w:rsidR="00E44B04" w:rsidRPr="00A913E9">
          <w:rPr>
            <w:rStyle w:val="a8"/>
            <w:rFonts w:ascii="仿宋" w:eastAsia="仿宋" w:hAnsi="仿宋" w:hint="eastAsia"/>
            <w:sz w:val="24"/>
            <w:szCs w:val="24"/>
          </w:rPr>
          <w:t>请于</w:t>
        </w:r>
        <w:r w:rsidR="00E44B04" w:rsidRPr="00A913E9">
          <w:rPr>
            <w:rStyle w:val="a8"/>
            <w:rFonts w:ascii="仿宋" w:eastAsia="仿宋" w:hAnsi="仿宋"/>
            <w:sz w:val="24"/>
            <w:szCs w:val="24"/>
          </w:rPr>
          <w:t>10月18日前将</w:t>
        </w:r>
        <w:r w:rsidR="00E44B04" w:rsidRPr="00A913E9">
          <w:rPr>
            <w:rStyle w:val="a8"/>
            <w:rFonts w:ascii="仿宋" w:eastAsia="仿宋" w:hAnsi="仿宋" w:hint="eastAsia"/>
            <w:sz w:val="24"/>
            <w:szCs w:val="24"/>
          </w:rPr>
          <w:t>本报告</w:t>
        </w:r>
        <w:r w:rsidR="00E44B04" w:rsidRPr="00A913E9">
          <w:rPr>
            <w:rStyle w:val="a8"/>
            <w:rFonts w:ascii="仿宋" w:eastAsia="仿宋" w:hAnsi="仿宋"/>
            <w:sz w:val="24"/>
            <w:szCs w:val="24"/>
          </w:rPr>
          <w:t>发送至sw151873@163.com</w:t>
        </w:r>
      </w:hyperlink>
      <w:r w:rsidR="00E44B04">
        <w:rPr>
          <w:rFonts w:ascii="仿宋" w:eastAsia="仿宋" w:hAnsi="仿宋" w:hint="eastAsia"/>
          <w:sz w:val="24"/>
          <w:szCs w:val="24"/>
        </w:rPr>
        <w:t>邮箱</w:t>
      </w:r>
    </w:p>
    <w:p w:rsidR="00773889" w:rsidRDefault="00E70B4F">
      <w:pPr>
        <w:spacing w:afterLines="50" w:after="156" w:line="360" w:lineRule="auto"/>
        <w:ind w:firstLineChars="200" w:firstLine="602"/>
        <w:jc w:val="center"/>
        <w:rPr>
          <w:rFonts w:ascii="黑体" w:eastAsia="黑体" w:hAnsi="黑体" w:cs="黑体"/>
          <w:b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上海现代化工职业学院×××学院</w:t>
      </w:r>
      <w:r w:rsidR="00CE1EBD"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执行和落实职业教育国家教学基本文件情况自查报告（格式与要求）</w:t>
      </w:r>
    </w:p>
    <w:p w:rsidR="00773889" w:rsidRDefault="00CE1EBD">
      <w:pPr>
        <w:spacing w:line="360" w:lineRule="auto"/>
        <w:ind w:firstLineChars="200" w:firstLine="482"/>
        <w:jc w:val="left"/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</w:t>
      </w:r>
      <w:r w:rsidR="00F47B53">
        <w:rPr>
          <w:rFonts w:ascii="仿宋" w:eastAsia="仿宋" w:hAnsi="仿宋" w:hint="eastAsia"/>
          <w:b/>
          <w:bCs/>
          <w:sz w:val="24"/>
          <w:szCs w:val="24"/>
        </w:rPr>
        <w:t>学院（部门）</w:t>
      </w:r>
      <w:r>
        <w:rPr>
          <w:rFonts w:ascii="仿宋" w:eastAsia="仿宋" w:hAnsi="仿宋" w:hint="eastAsia"/>
          <w:b/>
          <w:bCs/>
          <w:sz w:val="24"/>
          <w:szCs w:val="24"/>
        </w:rPr>
        <w:t>基本情况</w:t>
      </w:r>
      <w:r>
        <w:rPr>
          <w:rFonts w:ascii="仿宋" w:eastAsia="仿宋" w:hAnsi="仿宋" w:hint="eastAsia"/>
          <w:sz w:val="24"/>
          <w:szCs w:val="24"/>
        </w:rPr>
        <w:t>（包括</w:t>
      </w:r>
      <w:r w:rsidR="00E70B4F">
        <w:rPr>
          <w:rFonts w:ascii="仿宋" w:eastAsia="仿宋" w:hAnsi="仿宋" w:hint="eastAsia"/>
          <w:sz w:val="24"/>
          <w:szCs w:val="24"/>
        </w:rPr>
        <w:t>基本情况及</w:t>
      </w:r>
      <w:r>
        <w:rPr>
          <w:rFonts w:ascii="仿宋" w:eastAsia="仿宋" w:hAnsi="仿宋" w:hint="eastAsia"/>
          <w:sz w:val="24"/>
          <w:szCs w:val="24"/>
        </w:rPr>
        <w:t>专业设置</w:t>
      </w:r>
      <w:r w:rsidR="00E70B4F">
        <w:rPr>
          <w:rFonts w:ascii="仿宋" w:eastAsia="仿宋" w:hAnsi="仿宋" w:hint="eastAsia"/>
          <w:sz w:val="24"/>
          <w:szCs w:val="24"/>
        </w:rPr>
        <w:t>、</w:t>
      </w:r>
      <w:r w:rsidR="00E70B4F">
        <w:rPr>
          <w:rFonts w:ascii="仿宋" w:eastAsia="仿宋" w:hAnsi="仿宋"/>
          <w:sz w:val="24"/>
          <w:szCs w:val="24"/>
        </w:rPr>
        <w:t>管理制度</w:t>
      </w:r>
      <w:r w:rsidR="00022654">
        <w:rPr>
          <w:rFonts w:ascii="仿宋" w:eastAsia="仿宋" w:hAnsi="仿宋" w:hint="eastAsia"/>
          <w:sz w:val="24"/>
          <w:szCs w:val="24"/>
        </w:rPr>
        <w:t>建设实施</w:t>
      </w:r>
      <w:r>
        <w:rPr>
          <w:rFonts w:ascii="仿宋" w:eastAsia="仿宋" w:hAnsi="仿宋" w:hint="eastAsia"/>
          <w:sz w:val="24"/>
          <w:szCs w:val="24"/>
        </w:rPr>
        <w:t>等，2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p w:rsidR="00773889" w:rsidRDefault="00773889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  <w:highlight w:val="yellow"/>
        </w:rPr>
      </w:pPr>
    </w:p>
    <w:p w:rsidR="00773889" w:rsidRDefault="00CE1EBD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二、落实情况</w:t>
      </w:r>
      <w:r>
        <w:rPr>
          <w:rFonts w:ascii="仿宋" w:eastAsia="仿宋" w:hAnsi="仿宋" w:hint="eastAsia"/>
          <w:sz w:val="24"/>
          <w:szCs w:val="24"/>
        </w:rPr>
        <w:t>（根据附件1中的自查表，依次对学校的专业设置管理、人才培养方案制订实施与现行国家教学标准执行、教材建设管理、学生实习组织管理和质量保障等项目中的具体内容进行</w:t>
      </w:r>
      <w:r w:rsidR="00E70B4F">
        <w:rPr>
          <w:rFonts w:ascii="仿宋" w:eastAsia="仿宋" w:hAnsi="仿宋" w:hint="eastAsia"/>
          <w:sz w:val="24"/>
          <w:szCs w:val="24"/>
        </w:rPr>
        <w:t>执行</w:t>
      </w:r>
      <w:r>
        <w:rPr>
          <w:rFonts w:ascii="仿宋" w:eastAsia="仿宋" w:hAnsi="仿宋" w:hint="eastAsia"/>
          <w:sz w:val="24"/>
          <w:szCs w:val="24"/>
        </w:rPr>
        <w:t>情况汇报。符合标准的需提供基本情况描述，每项内容1</w:t>
      </w:r>
      <w:r>
        <w:rPr>
          <w:rFonts w:ascii="仿宋" w:eastAsia="仿宋" w:hAnsi="仿宋"/>
          <w:sz w:val="24"/>
          <w:szCs w:val="24"/>
        </w:rPr>
        <w:t>00-200</w:t>
      </w:r>
      <w:r>
        <w:rPr>
          <w:rFonts w:ascii="仿宋" w:eastAsia="仿宋" w:hAnsi="仿宋" w:hint="eastAsia"/>
          <w:sz w:val="24"/>
          <w:szCs w:val="24"/>
        </w:rPr>
        <w:t>字；</w:t>
      </w:r>
      <w:r w:rsidRPr="00F47B53">
        <w:rPr>
          <w:rFonts w:ascii="仿宋" w:eastAsia="仿宋" w:hAnsi="仿宋" w:hint="eastAsia"/>
          <w:sz w:val="24"/>
          <w:szCs w:val="24"/>
          <w:u w:val="single"/>
        </w:rPr>
        <w:t>不符合标准的</w:t>
      </w:r>
      <w:r w:rsidR="00E70B4F" w:rsidRPr="00F47B53">
        <w:rPr>
          <w:rFonts w:ascii="仿宋" w:eastAsia="仿宋" w:hAnsi="仿宋" w:hint="eastAsia"/>
          <w:sz w:val="24"/>
          <w:szCs w:val="24"/>
          <w:u w:val="single"/>
        </w:rPr>
        <w:t>，</w:t>
      </w:r>
      <w:r w:rsidRPr="00F47B53">
        <w:rPr>
          <w:rFonts w:ascii="仿宋" w:eastAsia="仿宋" w:hAnsi="仿宋" w:hint="eastAsia"/>
          <w:sz w:val="24"/>
          <w:szCs w:val="24"/>
          <w:u w:val="single"/>
        </w:rPr>
        <w:t>需分析原因，每项内容1</w:t>
      </w:r>
      <w:r w:rsidRPr="00F47B53">
        <w:rPr>
          <w:rFonts w:ascii="仿宋" w:eastAsia="仿宋" w:hAnsi="仿宋"/>
          <w:sz w:val="24"/>
          <w:szCs w:val="24"/>
          <w:u w:val="single"/>
        </w:rPr>
        <w:t>00-200</w:t>
      </w:r>
      <w:r w:rsidRPr="00F47B53">
        <w:rPr>
          <w:rFonts w:ascii="仿宋" w:eastAsia="仿宋" w:hAnsi="仿宋" w:hint="eastAsia"/>
          <w:sz w:val="24"/>
          <w:szCs w:val="24"/>
          <w:u w:val="single"/>
        </w:rPr>
        <w:t>字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773889" w:rsidRDefault="0077388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773889" w:rsidRDefault="00CE1EBD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三、典型做法与经验</w:t>
      </w:r>
      <w:r>
        <w:rPr>
          <w:rFonts w:ascii="仿宋" w:eastAsia="仿宋" w:hAnsi="仿宋" w:hint="eastAsia"/>
          <w:sz w:val="24"/>
          <w:szCs w:val="24"/>
        </w:rPr>
        <w:t>（选取</w:t>
      </w:r>
      <w:r w:rsidR="00E70B4F">
        <w:rPr>
          <w:rFonts w:ascii="仿宋" w:eastAsia="仿宋" w:hAnsi="仿宋" w:hint="eastAsia"/>
          <w:sz w:val="24"/>
          <w:szCs w:val="24"/>
        </w:rPr>
        <w:t>落实情况</w:t>
      </w:r>
      <w:r w:rsidR="00E70B4F">
        <w:rPr>
          <w:rFonts w:ascii="仿宋" w:eastAsia="仿宋" w:hAnsi="仿宋"/>
          <w:sz w:val="24"/>
          <w:szCs w:val="24"/>
        </w:rPr>
        <w:t>中</w:t>
      </w:r>
      <w:r>
        <w:rPr>
          <w:rFonts w:ascii="仿宋" w:eastAsia="仿宋" w:hAnsi="仿宋" w:hint="eastAsia"/>
          <w:sz w:val="24"/>
          <w:szCs w:val="24"/>
        </w:rPr>
        <w:t>最具代表性的“落实职业教育国家教学基本文件的好做法、好经验”进行汇报，</w:t>
      </w:r>
      <w:r w:rsidR="00E70B4F">
        <w:rPr>
          <w:rFonts w:ascii="仿宋" w:eastAsia="仿宋" w:hAnsi="仿宋" w:hint="eastAsia"/>
          <w:sz w:val="24"/>
          <w:szCs w:val="24"/>
        </w:rPr>
        <w:t>以</w:t>
      </w:r>
      <w:r w:rsidR="00E70B4F">
        <w:rPr>
          <w:rFonts w:ascii="仿宋" w:eastAsia="仿宋" w:hAnsi="仿宋"/>
          <w:sz w:val="24"/>
          <w:szCs w:val="24"/>
        </w:rPr>
        <w:t>案例形式，</w:t>
      </w:r>
      <w:r w:rsidR="00E70B4F">
        <w:rPr>
          <w:rFonts w:ascii="仿宋" w:eastAsia="仿宋" w:hAnsi="仿宋" w:hint="eastAsia"/>
          <w:sz w:val="24"/>
          <w:szCs w:val="24"/>
        </w:rPr>
        <w:t>2</w:t>
      </w:r>
      <w:r w:rsidR="00E70B4F">
        <w:rPr>
          <w:rFonts w:ascii="仿宋" w:eastAsia="仿宋" w:hAnsi="仿宋"/>
          <w:sz w:val="24"/>
          <w:szCs w:val="24"/>
        </w:rPr>
        <w:t>-3</w:t>
      </w:r>
      <w:r w:rsidR="00E70B4F">
        <w:rPr>
          <w:rFonts w:ascii="仿宋" w:eastAsia="仿宋" w:hAnsi="仿宋" w:hint="eastAsia"/>
          <w:sz w:val="24"/>
          <w:szCs w:val="24"/>
        </w:rPr>
        <w:t>个</w:t>
      </w:r>
      <w:r w:rsidR="00E70B4F">
        <w:rPr>
          <w:rFonts w:ascii="仿宋" w:eastAsia="仿宋" w:hAnsi="仿宋"/>
          <w:sz w:val="24"/>
          <w:szCs w:val="24"/>
        </w:rPr>
        <w:t>，</w:t>
      </w:r>
      <w:r w:rsidR="00E70B4F">
        <w:rPr>
          <w:rFonts w:ascii="仿宋" w:eastAsia="仿宋" w:hAnsi="仿宋" w:hint="eastAsia"/>
          <w:sz w:val="24"/>
          <w:szCs w:val="24"/>
        </w:rPr>
        <w:t>每个500</w:t>
      </w:r>
      <w:r>
        <w:rPr>
          <w:rFonts w:ascii="仿宋" w:eastAsia="仿宋" w:hAnsi="仿宋" w:hint="eastAsia"/>
          <w:sz w:val="24"/>
          <w:szCs w:val="24"/>
        </w:rPr>
        <w:t>字左右</w:t>
      </w:r>
      <w:r w:rsidR="00E70B4F">
        <w:rPr>
          <w:rFonts w:ascii="仿宋" w:eastAsia="仿宋" w:hAnsi="仿宋" w:hint="eastAsia"/>
          <w:sz w:val="24"/>
          <w:szCs w:val="24"/>
        </w:rPr>
        <w:t>，尽量</w:t>
      </w:r>
      <w:r w:rsidR="00E70B4F">
        <w:rPr>
          <w:rFonts w:ascii="仿宋" w:eastAsia="仿宋" w:hAnsi="仿宋"/>
          <w:sz w:val="24"/>
          <w:szCs w:val="24"/>
        </w:rPr>
        <w:t>配图体现</w:t>
      </w:r>
      <w:r w:rsidR="00E70B4F">
        <w:rPr>
          <w:rFonts w:ascii="仿宋" w:eastAsia="仿宋" w:hAnsi="仿宋" w:hint="eastAsia"/>
          <w:sz w:val="24"/>
          <w:szCs w:val="24"/>
        </w:rPr>
        <w:t>特色</w:t>
      </w:r>
      <w:r w:rsidR="00E70B4F">
        <w:rPr>
          <w:rFonts w:ascii="仿宋" w:eastAsia="仿宋" w:hAnsi="仿宋"/>
          <w:sz w:val="24"/>
          <w:szCs w:val="24"/>
        </w:rPr>
        <w:t>与亮点</w:t>
      </w:r>
      <w:r w:rsidR="001B555B">
        <w:rPr>
          <w:rFonts w:ascii="仿宋" w:eastAsia="仿宋" w:hAnsi="仿宋" w:hint="eastAsia"/>
          <w:sz w:val="24"/>
          <w:szCs w:val="24"/>
        </w:rPr>
        <w:t>，格式见文后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773889" w:rsidRDefault="0077388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773889" w:rsidRDefault="00CE1EBD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四、主要问题</w:t>
      </w:r>
      <w:r w:rsidR="00E70B4F">
        <w:rPr>
          <w:rFonts w:ascii="仿宋" w:eastAsia="仿宋" w:hAnsi="仿宋" w:hint="eastAsia"/>
          <w:b/>
          <w:bCs/>
          <w:sz w:val="24"/>
          <w:szCs w:val="24"/>
        </w:rPr>
        <w:t>与</w:t>
      </w:r>
      <w:r w:rsidR="00E70B4F">
        <w:rPr>
          <w:rFonts w:ascii="仿宋" w:eastAsia="仿宋" w:hAnsi="仿宋"/>
          <w:b/>
          <w:bCs/>
          <w:sz w:val="24"/>
          <w:szCs w:val="24"/>
        </w:rPr>
        <w:t>工作建议</w:t>
      </w:r>
      <w:r>
        <w:rPr>
          <w:rFonts w:ascii="仿宋" w:eastAsia="仿宋" w:hAnsi="仿宋" w:hint="eastAsia"/>
          <w:sz w:val="24"/>
          <w:szCs w:val="24"/>
        </w:rPr>
        <w:t>（梳理在落实职业教育国家教学基本文件中存在的主要困难与问题，并分析原因</w:t>
      </w:r>
      <w:r w:rsidR="00E70B4F">
        <w:rPr>
          <w:rFonts w:ascii="仿宋" w:eastAsia="仿宋" w:hAnsi="仿宋" w:hint="eastAsia"/>
          <w:sz w:val="24"/>
          <w:szCs w:val="24"/>
        </w:rPr>
        <w:t>提出</w:t>
      </w:r>
      <w:r w:rsidR="00E70B4F">
        <w:rPr>
          <w:rFonts w:ascii="仿宋" w:eastAsia="仿宋" w:hAnsi="仿宋"/>
          <w:sz w:val="24"/>
          <w:szCs w:val="24"/>
        </w:rPr>
        <w:t>建议</w:t>
      </w:r>
      <w:r>
        <w:rPr>
          <w:rFonts w:ascii="仿宋" w:eastAsia="仿宋" w:hAnsi="仿宋" w:hint="eastAsia"/>
          <w:sz w:val="24"/>
          <w:szCs w:val="24"/>
        </w:rPr>
        <w:t>。这里的问题并非“二”中针对具体情况的问题，</w:t>
      </w:r>
      <w:r w:rsidRPr="00F47B53">
        <w:rPr>
          <w:rFonts w:ascii="仿宋" w:eastAsia="仿宋" w:hAnsi="仿宋" w:hint="eastAsia"/>
          <w:sz w:val="24"/>
          <w:szCs w:val="24"/>
          <w:u w:val="single"/>
        </w:rPr>
        <w:t>是在落实标准过程中的系统性、制度性问题，</w:t>
      </w:r>
      <w:r>
        <w:rPr>
          <w:rFonts w:ascii="仿宋" w:eastAsia="仿宋" w:hAnsi="仿宋" w:hint="eastAsia"/>
          <w:sz w:val="24"/>
          <w:szCs w:val="24"/>
        </w:rPr>
        <w:t>例如部门沟通不顺畅导致执行效率低下等，</w:t>
      </w:r>
      <w:r w:rsidR="00E70B4F" w:rsidRPr="00E70B4F">
        <w:rPr>
          <w:rFonts w:ascii="仿宋" w:eastAsia="仿宋" w:hAnsi="仿宋" w:hint="eastAsia"/>
          <w:sz w:val="24"/>
          <w:szCs w:val="24"/>
        </w:rPr>
        <w:t>针对以上问题提出下一步工作考虑和建议，注意对策与问题的一一对应</w:t>
      </w:r>
      <w:r w:rsidR="0036631E">
        <w:rPr>
          <w:rFonts w:ascii="仿宋" w:eastAsia="仿宋" w:hAnsi="仿宋"/>
          <w:sz w:val="24"/>
          <w:szCs w:val="24"/>
        </w:rPr>
        <w:t>300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p w:rsidR="00773889" w:rsidRDefault="0077388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D2F9C" w:rsidRDefault="00CD2F9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D2F9C" w:rsidRDefault="00CD2F9C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CD2F9C" w:rsidRDefault="00CD2F9C" w:rsidP="0002265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案例格式：</w:t>
      </w:r>
    </w:p>
    <w:p w:rsidR="00CD2F9C" w:rsidRPr="00CC5F34" w:rsidRDefault="00CD2F9C" w:rsidP="00CC5F34">
      <w:pPr>
        <w:pStyle w:val="4"/>
        <w:rPr>
          <w:rFonts w:ascii="黑体" w:eastAsia="黑体" w:hAnsi="黑体"/>
          <w:color w:val="000000" w:themeColor="text1"/>
        </w:rPr>
      </w:pPr>
      <w:bookmarkStart w:id="1" w:name="_Toc121833473"/>
      <w:bookmarkStart w:id="2" w:name="_Toc121838832"/>
      <w:r w:rsidRPr="00BE6172">
        <w:rPr>
          <w:rFonts w:hint="eastAsia"/>
        </w:rPr>
        <w:t>案</w:t>
      </w:r>
      <w:r w:rsidRPr="00CD2F9C">
        <w:rPr>
          <w:rFonts w:hint="eastAsia"/>
          <w:color w:val="000000" w:themeColor="text1"/>
        </w:rPr>
        <w:t>人才培养模式</w:t>
      </w:r>
      <w:r w:rsidRPr="00CD2F9C">
        <w:rPr>
          <w:rFonts w:ascii="黑体" w:eastAsia="黑体" w:hAnsi="黑体" w:hint="eastAsia"/>
          <w:color w:val="000000" w:themeColor="text1"/>
        </w:rPr>
        <w:t>：“双元融合，三站联动”人才培养模式的构建</w:t>
      </w:r>
      <w:bookmarkEnd w:id="1"/>
      <w:bookmarkEnd w:id="2"/>
    </w:p>
    <w:p w:rsidR="00CC5F34" w:rsidRPr="00CC5F34" w:rsidRDefault="00CD2F9C" w:rsidP="00CC5F3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C5F34">
        <w:rPr>
          <w:rFonts w:ascii="宋体" w:eastAsia="宋体" w:hAnsi="宋体"/>
          <w:sz w:val="24"/>
          <w:szCs w:val="24"/>
        </w:rPr>
        <w:t>上海石化工业学校化学工艺专业是上海市中职示范性品牌专业，该专业紧密 结合区域化工企业转型发展需求，探索形成</w:t>
      </w:r>
      <w:r w:rsidR="00767025">
        <w:rPr>
          <w:rFonts w:ascii="宋体" w:eastAsia="宋体" w:hAnsi="宋体" w:hint="eastAsia"/>
          <w:sz w:val="24"/>
          <w:szCs w:val="24"/>
        </w:rPr>
        <w:t>“</w:t>
      </w:r>
      <w:r w:rsidR="00767025" w:rsidRPr="00CC5F34">
        <w:rPr>
          <w:rFonts w:ascii="宋体" w:eastAsia="宋体" w:hAnsi="宋体"/>
          <w:sz w:val="24"/>
          <w:szCs w:val="24"/>
        </w:rPr>
        <w:t>双元融合、三站联动</w:t>
      </w:r>
      <w:r w:rsidR="00767025">
        <w:rPr>
          <w:rFonts w:ascii="宋体" w:eastAsia="宋体" w:hAnsi="宋体" w:hint="eastAsia"/>
          <w:sz w:val="24"/>
          <w:szCs w:val="24"/>
        </w:rPr>
        <w:t>”</w:t>
      </w:r>
      <w:r w:rsidRPr="00CC5F34">
        <w:rPr>
          <w:rFonts w:ascii="宋体" w:eastAsia="宋体" w:hAnsi="宋体"/>
          <w:sz w:val="24"/>
          <w:szCs w:val="24"/>
        </w:rPr>
        <w:t>人才培养模式。</w:t>
      </w:r>
      <w:r w:rsidR="00CC5F34" w:rsidRPr="00CC5F34">
        <w:rPr>
          <w:rFonts w:ascii="宋体" w:eastAsia="宋体" w:hAnsi="宋体" w:hint="eastAsia"/>
          <w:sz w:val="24"/>
          <w:szCs w:val="24"/>
        </w:rPr>
        <w:t>校企紧密合作，共同构建人才培养体系，实施双主体协同育人。以学生专</w:t>
      </w:r>
      <w:r w:rsidR="00767025">
        <w:rPr>
          <w:rFonts w:ascii="宋体" w:eastAsia="宋体" w:hAnsi="宋体" w:hint="eastAsia"/>
          <w:sz w:val="24"/>
          <w:szCs w:val="24"/>
        </w:rPr>
        <w:t>业成长为主线，将学生在校期间分为“专业认知、专业入门、专业深化、</w:t>
      </w:r>
      <w:r w:rsidR="00CC5F34" w:rsidRPr="00CC5F34">
        <w:rPr>
          <w:rFonts w:ascii="宋体" w:eastAsia="宋体" w:hAnsi="宋体" w:hint="eastAsia"/>
          <w:sz w:val="24"/>
          <w:szCs w:val="24"/>
        </w:rPr>
        <w:t>职业成长”四个培养阶段，</w:t>
      </w:r>
      <w:r w:rsidRPr="00CC5F34">
        <w:rPr>
          <w:rFonts w:ascii="宋体" w:eastAsia="宋体" w:hAnsi="宋体"/>
          <w:sz w:val="24"/>
          <w:szCs w:val="24"/>
        </w:rPr>
        <w:t>分别确定各阶段的培养目标和方式，并在不同学段设定了融合要素，形成综合素养发展的</w:t>
      </w:r>
      <w:r w:rsidR="00CC5F34" w:rsidRPr="00CC5F34">
        <w:rPr>
          <w:rFonts w:ascii="宋体" w:eastAsia="宋体" w:hAnsi="宋体" w:hint="eastAsia"/>
          <w:sz w:val="24"/>
          <w:szCs w:val="24"/>
        </w:rPr>
        <w:t>“</w:t>
      </w:r>
      <w:r w:rsidR="00CC5F34" w:rsidRPr="00CC5F34">
        <w:rPr>
          <w:rFonts w:ascii="宋体" w:eastAsia="宋体" w:hAnsi="宋体"/>
          <w:sz w:val="24"/>
          <w:szCs w:val="24"/>
        </w:rPr>
        <w:t>四阶段</w:t>
      </w:r>
      <w:r w:rsidR="00CC5F34" w:rsidRPr="00CC5F34">
        <w:rPr>
          <w:rFonts w:ascii="宋体" w:eastAsia="宋体" w:hAnsi="宋体" w:hint="eastAsia"/>
          <w:sz w:val="24"/>
          <w:szCs w:val="24"/>
        </w:rPr>
        <w:t>”</w:t>
      </w:r>
      <w:r w:rsidR="00CC5F34" w:rsidRPr="00CC5F34">
        <w:rPr>
          <w:rFonts w:ascii="宋体" w:eastAsia="宋体" w:hAnsi="宋体"/>
          <w:sz w:val="24"/>
          <w:szCs w:val="24"/>
        </w:rPr>
        <w:t>专业人才培养架构</w:t>
      </w:r>
      <w:r w:rsidR="00CC5F34" w:rsidRPr="00CC5F34">
        <w:rPr>
          <w:rFonts w:ascii="宋体" w:eastAsia="宋体" w:hAnsi="宋体" w:hint="eastAsia"/>
          <w:sz w:val="24"/>
          <w:szCs w:val="24"/>
        </w:rPr>
        <w:t>。</w:t>
      </w:r>
      <w:r w:rsidRPr="00CC5F34">
        <w:rPr>
          <w:rFonts w:ascii="宋体" w:eastAsia="宋体" w:hAnsi="宋体"/>
          <w:sz w:val="24"/>
          <w:szCs w:val="24"/>
        </w:rPr>
        <w:t>根据现代化学工业发展趋势，针对企业对学生职业能力要求，从化工工艺员岗位工作任务出发，根据</w:t>
      </w:r>
      <w:r w:rsidR="00CC5F34" w:rsidRPr="00CC5F34">
        <w:rPr>
          <w:rFonts w:ascii="宋体" w:eastAsia="宋体" w:hAnsi="宋体" w:hint="eastAsia"/>
          <w:sz w:val="24"/>
          <w:szCs w:val="24"/>
        </w:rPr>
        <w:t>《上海市中等职业学校化学工艺专业教学标准》</w:t>
      </w:r>
      <w:r w:rsidRPr="00CC5F34">
        <w:rPr>
          <w:rFonts w:ascii="宋体" w:eastAsia="宋体" w:hAnsi="宋体"/>
          <w:sz w:val="24"/>
          <w:szCs w:val="24"/>
        </w:rPr>
        <w:t>，融合化工总控工职业技能标准和化工工艺员职业资格培训标准，形成由学习领域课程、专项技能、综合技能和拓展技能培训项目以及企业实</w:t>
      </w:r>
      <w:r w:rsidR="00CC5F34" w:rsidRPr="00CC5F34">
        <w:rPr>
          <w:rFonts w:ascii="宋体" w:eastAsia="宋体" w:hAnsi="宋体"/>
          <w:sz w:val="24"/>
          <w:szCs w:val="24"/>
        </w:rPr>
        <w:t>践所组成的模块化课程体系</w:t>
      </w:r>
      <w:r w:rsidR="00CC5F34" w:rsidRPr="00CC5F34">
        <w:rPr>
          <w:rFonts w:ascii="宋体" w:eastAsia="宋体" w:hAnsi="宋体" w:hint="eastAsia"/>
          <w:sz w:val="24"/>
          <w:szCs w:val="24"/>
        </w:rPr>
        <w:t>。校企携手积极探索和实践“学校一体化教学站、跨企业培训中心技能实践站</w:t>
      </w:r>
      <w:r w:rsidR="00767025">
        <w:rPr>
          <w:rFonts w:ascii="宋体" w:eastAsia="宋体" w:hAnsi="宋体" w:hint="eastAsia"/>
          <w:sz w:val="24"/>
          <w:szCs w:val="24"/>
        </w:rPr>
        <w:t>、</w:t>
      </w:r>
      <w:r w:rsidR="00CC5F34" w:rsidRPr="00CC5F34">
        <w:rPr>
          <w:rFonts w:ascii="宋体" w:eastAsia="宋体" w:hAnsi="宋体" w:hint="eastAsia"/>
          <w:sz w:val="24"/>
          <w:szCs w:val="24"/>
        </w:rPr>
        <w:t>培训企业生产实习站”三站联动交互的教学模式，从而形成“双元融合，三站联动”的人才培养模式。</w:t>
      </w:r>
    </w:p>
    <w:p w:rsidR="00CD2F9C" w:rsidRDefault="00CD2F9C" w:rsidP="00CC5F34">
      <w:pPr>
        <w:spacing w:line="360" w:lineRule="auto"/>
        <w:rPr>
          <w:rFonts w:ascii="仿宋" w:eastAsia="仿宋" w:hAnsi="仿宋"/>
          <w:sz w:val="24"/>
          <w:szCs w:val="24"/>
        </w:rPr>
      </w:pPr>
      <w:r w:rsidRPr="00F6337D">
        <w:rPr>
          <w:rFonts w:ascii="楷体" w:eastAsia="楷体" w:hAnsi="楷体" w:cs="Times New Roman" w:hint="eastAsia"/>
          <w:noProof/>
          <w:sz w:val="28"/>
          <w:szCs w:val="28"/>
        </w:rPr>
        <w:drawing>
          <wp:inline distT="0" distB="0" distL="114300" distR="114300" wp14:anchorId="32EF82D5" wp14:editId="297AEC0A">
            <wp:extent cx="5220000" cy="2844882"/>
            <wp:effectExtent l="0" t="0" r="0" b="0"/>
            <wp:docPr id="331" name="图片 331" descr="图5 双元融合 三站联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5 双元融合 三站联动_01"/>
                    <pic:cNvPicPr>
                      <a:picLocks noChangeAspect="1"/>
                    </pic:cNvPicPr>
                  </pic:nvPicPr>
                  <pic:blipFill>
                    <a:blip r:embed="rId7"/>
                    <a:srcRect b="4879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448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EB" w:rsidRPr="007328EB" w:rsidRDefault="00B93107" w:rsidP="007328EB">
      <w:pPr>
        <w:spacing w:line="360" w:lineRule="auto"/>
        <w:jc w:val="center"/>
        <w:rPr>
          <w:rFonts w:ascii="楷体" w:eastAsia="楷体" w:hAnsi="楷体" w:cs="Times New Roman"/>
          <w:color w:val="000000" w:themeColor="text1"/>
          <w:szCs w:val="21"/>
        </w:rPr>
      </w:pPr>
      <w:r>
        <w:rPr>
          <w:rFonts w:ascii="楷体" w:eastAsia="楷体" w:hAnsi="楷体" w:cs="Times New Roman" w:hint="eastAsia"/>
          <w:color w:val="000000" w:themeColor="text1"/>
          <w:szCs w:val="21"/>
        </w:rPr>
        <w:t xml:space="preserve">图 </w:t>
      </w:r>
      <w:r w:rsidR="00CD2F9C" w:rsidRPr="00CD2F9C">
        <w:rPr>
          <w:rFonts w:ascii="楷体" w:eastAsia="楷体" w:hAnsi="楷体" w:cs="Times New Roman" w:hint="eastAsia"/>
          <w:color w:val="000000" w:themeColor="text1"/>
          <w:szCs w:val="21"/>
        </w:rPr>
        <w:t>化学工艺专业人才培养模式</w:t>
      </w:r>
    </w:p>
    <w:sectPr w:rsidR="007328EB" w:rsidRPr="0073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5E" w:rsidRDefault="001B205E" w:rsidP="00E70B4F">
      <w:r>
        <w:separator/>
      </w:r>
    </w:p>
  </w:endnote>
  <w:endnote w:type="continuationSeparator" w:id="0">
    <w:p w:rsidR="001B205E" w:rsidRDefault="001B205E" w:rsidP="00E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5E" w:rsidRDefault="001B205E" w:rsidP="00E70B4F">
      <w:r>
        <w:separator/>
      </w:r>
    </w:p>
  </w:footnote>
  <w:footnote w:type="continuationSeparator" w:id="0">
    <w:p w:rsidR="001B205E" w:rsidRDefault="001B205E" w:rsidP="00E7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xYTlmNTc0Y2JjNWJkOTYzMTNhYWE5Zjc0NDNiNTkifQ=="/>
  </w:docVars>
  <w:rsids>
    <w:rsidRoot w:val="00593ED3"/>
    <w:rsid w:val="00022654"/>
    <w:rsid w:val="001B205E"/>
    <w:rsid w:val="001B555B"/>
    <w:rsid w:val="0036631E"/>
    <w:rsid w:val="003B5E72"/>
    <w:rsid w:val="00593ED3"/>
    <w:rsid w:val="005B5D4E"/>
    <w:rsid w:val="00722D19"/>
    <w:rsid w:val="007328EB"/>
    <w:rsid w:val="00767025"/>
    <w:rsid w:val="00773889"/>
    <w:rsid w:val="007A2644"/>
    <w:rsid w:val="009333F3"/>
    <w:rsid w:val="00AA2FB9"/>
    <w:rsid w:val="00AA641E"/>
    <w:rsid w:val="00B112AF"/>
    <w:rsid w:val="00B93107"/>
    <w:rsid w:val="00CC5F34"/>
    <w:rsid w:val="00CC6E92"/>
    <w:rsid w:val="00CD2F9C"/>
    <w:rsid w:val="00CE1EBD"/>
    <w:rsid w:val="00CF658A"/>
    <w:rsid w:val="00E44B04"/>
    <w:rsid w:val="00E525E2"/>
    <w:rsid w:val="00E70B4F"/>
    <w:rsid w:val="00E82FD4"/>
    <w:rsid w:val="00EE3C31"/>
    <w:rsid w:val="00F47B53"/>
    <w:rsid w:val="00FF759A"/>
    <w:rsid w:val="101C61DE"/>
    <w:rsid w:val="37230B10"/>
    <w:rsid w:val="61D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9640"/>
  <w15:docId w15:val="{96E0D007-AE71-4736-A16D-90E89239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D2F9C"/>
    <w:pPr>
      <w:keepNext/>
      <w:keepLines/>
      <w:outlineLvl w:val="3"/>
    </w:pPr>
    <w:rPr>
      <w:rFonts w:asciiTheme="majorHAnsi" w:eastAsia="微软雅黑" w:hAnsiTheme="majorHAnsi" w:cstheme="majorBidi"/>
      <w:b/>
      <w:bCs/>
      <w:color w:val="FFFFFF" w:themeColor="background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CD2F9C"/>
    <w:rPr>
      <w:rFonts w:asciiTheme="majorHAnsi" w:eastAsia="微软雅黑" w:hAnsiTheme="majorHAnsi" w:cstheme="majorBidi"/>
      <w:b/>
      <w:bCs/>
      <w:color w:val="FFFFFF" w:themeColor="background1"/>
      <w:kern w:val="2"/>
      <w:sz w:val="28"/>
      <w:szCs w:val="28"/>
    </w:rPr>
  </w:style>
  <w:style w:type="character" w:styleId="a8">
    <w:name w:val="Hyperlink"/>
    <w:basedOn w:val="a0"/>
    <w:uiPriority w:val="99"/>
    <w:unhideWhenUsed/>
    <w:rsid w:val="00E44B0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31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31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10&#26376;18&#26085;&#21069;&#23558;&#26412;&#25253;&#21578;&#21457;&#36865;&#33267;sw151873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笙年 王</dc:creator>
  <cp:lastModifiedBy>spa-teacher</cp:lastModifiedBy>
  <cp:revision>13</cp:revision>
  <cp:lastPrinted>2023-09-26T23:42:00Z</cp:lastPrinted>
  <dcterms:created xsi:type="dcterms:W3CDTF">2023-09-22T05:29:00Z</dcterms:created>
  <dcterms:modified xsi:type="dcterms:W3CDTF">2023-09-28T04:30:00Z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EE20F06B7B5743ECA5FC14103ADD34E6_12</vt:lpwstr>
  </property>
</Properties>
</file>